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3FC1" w14:textId="77777777" w:rsidR="007F6303" w:rsidRDefault="001F1583" w:rsidP="007F6303">
      <w:pPr>
        <w:pStyle w:val="Title"/>
        <w:rPr>
          <w:rFonts w:eastAsia="Times New Roman"/>
          <w:color w:val="2E74B5" w:themeColor="accent1" w:themeShade="BF"/>
          <w:lang w:eastAsia="en-AU"/>
        </w:rPr>
      </w:pPr>
      <w:r w:rsidRPr="00EB21E6">
        <w:rPr>
          <w:rFonts w:eastAsia="Times New Roman"/>
          <w:color w:val="2E74B5" w:themeColor="accent1" w:themeShade="BF"/>
          <w:lang w:eastAsia="en-AU"/>
        </w:rPr>
        <w:t>Individual Flexibility Agreements (IFA’s)</w:t>
      </w:r>
    </w:p>
    <w:p w14:paraId="1A35A549" w14:textId="77777777" w:rsidR="00364E69" w:rsidRPr="00364E69" w:rsidRDefault="00364E69" w:rsidP="00364E69">
      <w:pPr>
        <w:rPr>
          <w:lang w:eastAsia="en-AU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64E69" w14:paraId="3E4413CF" w14:textId="77777777" w:rsidTr="001B4CF2">
        <w:trPr>
          <w:trHeight w:val="1108"/>
        </w:trPr>
        <w:tc>
          <w:tcPr>
            <w:tcW w:w="7796" w:type="dxa"/>
          </w:tcPr>
          <w:p w14:paraId="171290A7" w14:textId="36B9251C" w:rsidR="00364E69" w:rsidRPr="00364E69" w:rsidRDefault="00364E69" w:rsidP="00E5212E">
            <w:pPr>
              <w:shd w:val="clear" w:color="auto" w:fill="8EAADB" w:themeFill="accent5" w:themeFillTint="99"/>
              <w:spacing w:after="120"/>
              <w:jc w:val="center"/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</w:pPr>
            <w:r w:rsidRPr="0016672E">
              <w:rPr>
                <w:rFonts w:ascii="Open Sans" w:eastAsia="Times New Roman" w:hAnsi="Open Sans" w:cs="Open Sans"/>
                <w:b/>
                <w:sz w:val="28"/>
                <w:szCs w:val="28"/>
                <w:lang w:eastAsia="en-AU"/>
              </w:rPr>
              <w:t>NOTE: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 </w:t>
            </w:r>
            <w:r w:rsidR="00E521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>This IFA template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</w:t>
            </w:r>
            <w:r w:rsidR="00E521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>is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specific 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u w:val="single"/>
                <w:lang w:eastAsia="en-AU"/>
              </w:rPr>
              <w:t>only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to those employed as a</w:t>
            </w:r>
            <w:r w:rsidR="009F24B9"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Farm and L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>i</w:t>
            </w:r>
            <w:r w:rsidR="009F24B9"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>vestock H</w:t>
            </w:r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and (FLH L1- FLHL8) under the </w:t>
            </w:r>
            <w:hyperlink r:id="rId8" w:anchor="TopOfPage" w:history="1">
              <w:r w:rsidRPr="0016672E">
                <w:rPr>
                  <w:rStyle w:val="Hyperlink"/>
                  <w:rFonts w:ascii="Open Sans" w:eastAsia="Times New Roman" w:hAnsi="Open Sans" w:cs="Open Sans"/>
                  <w:sz w:val="28"/>
                  <w:szCs w:val="28"/>
                  <w:lang w:eastAsia="en-AU"/>
                </w:rPr>
                <w:t>Pastoral Award 2010</w:t>
              </w:r>
            </w:hyperlink>
            <w:r w:rsidRPr="0016672E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>.</w:t>
            </w:r>
            <w:r w:rsidR="0010703D">
              <w:rPr>
                <w:rFonts w:ascii="Open Sans" w:eastAsia="Times New Roman" w:hAnsi="Open Sans" w:cs="Open Sans"/>
                <w:sz w:val="28"/>
                <w:szCs w:val="28"/>
                <w:lang w:eastAsia="en-AU"/>
              </w:rPr>
              <w:t xml:space="preserve"> Updated July 2019</w:t>
            </w:r>
          </w:p>
        </w:tc>
      </w:tr>
    </w:tbl>
    <w:p w14:paraId="54B8CE6E" w14:textId="77777777" w:rsidR="007F6303" w:rsidRDefault="007F6303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50D430D2" w14:textId="77777777" w:rsidR="00364E69" w:rsidRDefault="001F1583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>An agreement to pay a flat rate of pay for all hours worked, will be a breach of the award and can lead to a claim for underpayment of wages unless it is formalised by way of an IFA or a formal Enterprise Agreement.</w:t>
      </w:r>
    </w:p>
    <w:p w14:paraId="7761C07A" w14:textId="77777777" w:rsidR="001F1583" w:rsidRPr="007F6303" w:rsidRDefault="001F1583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>Make sure you follow the step below to complete a formal IFA correctly.</w:t>
      </w:r>
    </w:p>
    <w:p w14:paraId="7C220080" w14:textId="77777777" w:rsidR="001F1583" w:rsidRDefault="001F1583" w:rsidP="001F1583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 xml:space="preserve">The Employer or Employee decides they would like an IFA and must put their request in writing. See the </w:t>
      </w:r>
      <w:hyperlink r:id="rId9" w:history="1">
        <w:r w:rsidRPr="001F1583">
          <w:rPr>
            <w:rStyle w:val="Hyperlink"/>
            <w:rFonts w:ascii="Open Sans" w:eastAsia="Times New Roman" w:hAnsi="Open Sans" w:cs="Open Sans"/>
            <w:sz w:val="24"/>
            <w:szCs w:val="24"/>
            <w:lang w:eastAsia="en-AU"/>
          </w:rPr>
          <w:t>IFA letter of offer template</w:t>
        </w:r>
      </w:hyperlink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 xml:space="preserve">. 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br/>
      </w:r>
    </w:p>
    <w:p w14:paraId="3F7A3C31" w14:textId="77777777" w:rsidR="001F1583" w:rsidRDefault="001F1583" w:rsidP="001F1583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 xml:space="preserve">Make sure that the IFA only varies the following 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t xml:space="preserve">work conditions: </w:t>
      </w:r>
    </w:p>
    <w:p w14:paraId="4F63E9DC" w14:textId="77777777" w:rsidR="001F1583" w:rsidRDefault="001F1583" w:rsidP="001F1583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>working hours</w:t>
      </w:r>
    </w:p>
    <w:p w14:paraId="470F7064" w14:textId="77777777" w:rsidR="001F1583" w:rsidRDefault="001F1583" w:rsidP="001F1583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>overtime rates</w:t>
      </w:r>
    </w:p>
    <w:p w14:paraId="36579381" w14:textId="77777777" w:rsidR="001F1583" w:rsidRDefault="001F1583" w:rsidP="001F1583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>penalty rates</w:t>
      </w:r>
    </w:p>
    <w:p w14:paraId="58C29A46" w14:textId="77777777" w:rsidR="001F1583" w:rsidRDefault="001F1583" w:rsidP="001F1583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>al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t>lowances and</w:t>
      </w:r>
    </w:p>
    <w:p w14:paraId="3CA5442D" w14:textId="77777777" w:rsidR="001F1583" w:rsidRDefault="001F1583" w:rsidP="001F1583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>annual leave loading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br/>
      </w:r>
    </w:p>
    <w:p w14:paraId="2B353689" w14:textId="77777777" w:rsidR="001F1583" w:rsidRDefault="001F1583" w:rsidP="001F1583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>Discuss the IFA with your employee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br/>
      </w:r>
    </w:p>
    <w:p w14:paraId="3379E47C" w14:textId="77777777" w:rsidR="007F6303" w:rsidRPr="001F1583" w:rsidRDefault="001F1583" w:rsidP="001F1583">
      <w:pPr>
        <w:pStyle w:val="ListParagraph"/>
        <w:numPr>
          <w:ilvl w:val="0"/>
          <w:numId w:val="2"/>
        </w:num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 xml:space="preserve">Make sure that the employee is better off overall under the </w:t>
      </w:r>
      <w:proofErr w:type="spellStart"/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>the</w:t>
      </w:r>
      <w:proofErr w:type="spellEnd"/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 xml:space="preserve"> IFA than they would be under the relevant award. Use the flat pay calculator </w:t>
      </w:r>
      <w:r>
        <w:rPr>
          <w:rFonts w:ascii="Open Sans" w:eastAsia="Times New Roman" w:hAnsi="Open Sans" w:cs="Open Sans"/>
          <w:sz w:val="24"/>
          <w:szCs w:val="24"/>
          <w:lang w:eastAsia="en-AU"/>
        </w:rPr>
        <w:t xml:space="preserve">below </w:t>
      </w:r>
      <w:r w:rsidRPr="001F1583">
        <w:rPr>
          <w:rFonts w:ascii="Open Sans" w:eastAsia="Times New Roman" w:hAnsi="Open Sans" w:cs="Open Sans"/>
          <w:sz w:val="24"/>
          <w:szCs w:val="24"/>
          <w:lang w:eastAsia="en-AU"/>
        </w:rPr>
        <w:t>to help make sure your IFA passes the BOOT.</w:t>
      </w:r>
    </w:p>
    <w:p w14:paraId="663F4428" w14:textId="77777777" w:rsidR="001F1583" w:rsidRPr="007F6303" w:rsidRDefault="001F1583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bookmarkStart w:id="0" w:name="passing"/>
      <w:bookmarkStart w:id="1" w:name="thinking"/>
      <w:bookmarkStart w:id="2" w:name="resources"/>
      <w:bookmarkEnd w:id="0"/>
      <w:bookmarkEnd w:id="1"/>
      <w:bookmarkEnd w:id="2"/>
    </w:p>
    <w:p w14:paraId="2426ADF1" w14:textId="77777777" w:rsidR="007F6303" w:rsidRPr="007F6303" w:rsidRDefault="007F6303" w:rsidP="007F6303">
      <w:pPr>
        <w:spacing w:after="120" w:line="240" w:lineRule="auto"/>
        <w:rPr>
          <w:rFonts w:ascii="Open Sans" w:eastAsia="Times New Roman" w:hAnsi="Open Sans" w:cs="Open Sans"/>
          <w:b/>
          <w:color w:val="2E74B5" w:themeColor="accent1" w:themeShade="BF"/>
          <w:sz w:val="28"/>
          <w:szCs w:val="28"/>
          <w:lang w:eastAsia="en-AU"/>
        </w:rPr>
      </w:pPr>
      <w:r w:rsidRPr="007F6303">
        <w:rPr>
          <w:rFonts w:ascii="Open Sans" w:eastAsia="Times New Roman" w:hAnsi="Open Sans" w:cs="Open Sans"/>
          <w:b/>
          <w:color w:val="2E74B5" w:themeColor="accent1" w:themeShade="BF"/>
          <w:sz w:val="28"/>
          <w:szCs w:val="28"/>
          <w:lang w:eastAsia="en-AU"/>
        </w:rPr>
        <w:t xml:space="preserve">Flat rates of pay and the calculator </w:t>
      </w:r>
    </w:p>
    <w:p w14:paraId="4CEF2CEE" w14:textId="2DFE51E6" w:rsidR="005E4EAE" w:rsidRPr="00093D12" w:rsidRDefault="007F6303" w:rsidP="00093D12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 xml:space="preserve">Both IFAs and enterprise agreements can allow for the payment of a flat rate of pay for all hours worked regardless of the hours or day of the week.  Use the flat rate pay calculator to help you calculate a rate for employees and make sure your agreement passes the Better off Overall Test (BOOT). </w:t>
      </w:r>
    </w:p>
    <w:p w14:paraId="0E9B82ED" w14:textId="77777777" w:rsidR="005E4EAE" w:rsidRDefault="00A35025" w:rsidP="005E4EAE">
      <w:pPr>
        <w:spacing w:after="120" w:line="240" w:lineRule="auto"/>
        <w:ind w:left="360" w:hanging="360"/>
        <w:contextualSpacing/>
        <w:outlineLvl w:val="1"/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</w:pPr>
      <w:r w:rsidRPr="007F6303"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  <w:t>Passing the BOOT</w:t>
      </w:r>
    </w:p>
    <w:p w14:paraId="0686828D" w14:textId="77777777" w:rsidR="001B4CF2" w:rsidRPr="003A122F" w:rsidRDefault="001B4CF2" w:rsidP="005E4EAE">
      <w:pPr>
        <w:spacing w:after="120" w:line="240" w:lineRule="auto"/>
        <w:ind w:left="360" w:hanging="360"/>
        <w:contextualSpacing/>
        <w:outlineLvl w:val="1"/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</w:pPr>
    </w:p>
    <w:p w14:paraId="7EFA771D" w14:textId="77777777" w:rsidR="00A35025" w:rsidRDefault="00A35025" w:rsidP="00A35025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 xml:space="preserve">Using the flat rate calculator, it is </w:t>
      </w:r>
      <w:proofErr w:type="gramStart"/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fairly easy</w:t>
      </w:r>
      <w:proofErr w:type="gramEnd"/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 xml:space="preserve"> to work out a flat pay rate for full-time employees that takes into account overtime and penalty rates.  The agreed </w:t>
      </w: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lastRenderedPageBreak/>
        <w:t>rate must pass the Better off Overall Test (BOOT) to ensure that the employee is better off overall compared with the award.</w:t>
      </w:r>
    </w:p>
    <w:p w14:paraId="57DD0D0F" w14:textId="77777777" w:rsidR="001B4CF2" w:rsidRPr="007F6303" w:rsidRDefault="001B4CF2" w:rsidP="00A35025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69B89C80" w14:textId="77777777" w:rsidR="00A35025" w:rsidRDefault="00A35025" w:rsidP="00A35025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Once you have determined the relevant minimum amounts of pay required by law and any other benefits which you may be able to provide, you can begin to work out a package.</w:t>
      </w:r>
    </w:p>
    <w:p w14:paraId="6A58DC33" w14:textId="792BF30A" w:rsidR="005E4EAE" w:rsidRPr="00E5212E" w:rsidRDefault="005E4EAE" w:rsidP="00A35025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E5212E">
        <w:rPr>
          <w:rFonts w:ascii="Open Sans" w:eastAsia="Times New Roman" w:hAnsi="Open Sans" w:cs="Open Sans"/>
          <w:sz w:val="24"/>
          <w:szCs w:val="24"/>
          <w:lang w:eastAsia="en-AU"/>
        </w:rPr>
        <w:t>Remember,</w:t>
      </w:r>
      <w:r w:rsidR="00E5212E" w:rsidRPr="00E5212E">
        <w:rPr>
          <w:rFonts w:ascii="Open Sans" w:eastAsia="Times New Roman" w:hAnsi="Open Sans" w:cs="Open Sans"/>
          <w:sz w:val="24"/>
          <w:szCs w:val="24"/>
          <w:lang w:eastAsia="en-AU"/>
        </w:rPr>
        <w:t xml:space="preserve"> </w:t>
      </w:r>
      <w:r w:rsidR="00E5212E">
        <w:rPr>
          <w:rFonts w:ascii="Open Sans" w:eastAsia="Times New Roman" w:hAnsi="Open Sans" w:cs="Open Sans"/>
          <w:sz w:val="24"/>
          <w:szCs w:val="24"/>
          <w:lang w:eastAsia="en-AU"/>
        </w:rPr>
        <w:t>the</w:t>
      </w:r>
      <w:r w:rsidR="00E5212E" w:rsidRPr="00E5212E">
        <w:rPr>
          <w:rFonts w:ascii="Open Sans" w:eastAsia="Times New Roman" w:hAnsi="Open Sans" w:cs="Open Sans"/>
          <w:sz w:val="24"/>
          <w:szCs w:val="24"/>
          <w:lang w:eastAsia="en-AU"/>
        </w:rPr>
        <w:t xml:space="preserve"> template IFA and the flat rate calculator are </w:t>
      </w:r>
      <w:r w:rsidR="00E5212E" w:rsidRPr="001B4CF2">
        <w:rPr>
          <w:rFonts w:ascii="Open Sans" w:eastAsia="Times New Roman" w:hAnsi="Open Sans" w:cs="Open Sans"/>
          <w:sz w:val="24"/>
          <w:szCs w:val="24"/>
          <w:lang w:eastAsia="en-AU"/>
        </w:rPr>
        <w:t>specifically designed</w:t>
      </w:r>
      <w:r w:rsidR="00E5212E" w:rsidRPr="001B4CF2">
        <w:rPr>
          <w:rFonts w:ascii="Open Sans" w:eastAsia="Times New Roman" w:hAnsi="Open Sans" w:cs="Open Sans"/>
          <w:sz w:val="24"/>
          <w:szCs w:val="24"/>
          <w:u w:val="single"/>
          <w:lang w:eastAsia="en-AU"/>
        </w:rPr>
        <w:t xml:space="preserve"> </w:t>
      </w:r>
      <w:r w:rsidRPr="001B4CF2">
        <w:rPr>
          <w:rFonts w:ascii="Open Sans" w:eastAsia="Times New Roman" w:hAnsi="Open Sans" w:cs="Open Sans"/>
          <w:sz w:val="24"/>
          <w:szCs w:val="24"/>
          <w:u w:val="single"/>
          <w:lang w:eastAsia="en-AU"/>
        </w:rPr>
        <w:t>only</w:t>
      </w:r>
      <w:r w:rsidRPr="001B4CF2">
        <w:rPr>
          <w:rFonts w:ascii="Open Sans" w:eastAsia="Times New Roman" w:hAnsi="Open Sans" w:cs="Open Sans"/>
          <w:sz w:val="24"/>
          <w:szCs w:val="24"/>
          <w:lang w:eastAsia="en-AU"/>
        </w:rPr>
        <w:t xml:space="preserve"> </w:t>
      </w:r>
      <w:r w:rsidR="00681B3F" w:rsidRPr="001B4CF2">
        <w:rPr>
          <w:rFonts w:ascii="Open Sans" w:eastAsia="Times New Roman" w:hAnsi="Open Sans" w:cs="Open Sans"/>
          <w:sz w:val="24"/>
          <w:szCs w:val="24"/>
          <w:lang w:eastAsia="en-AU"/>
        </w:rPr>
        <w:t xml:space="preserve">for </w:t>
      </w:r>
      <w:r w:rsidRPr="001B4CF2">
        <w:rPr>
          <w:rFonts w:ascii="Open Sans" w:eastAsia="Times New Roman" w:hAnsi="Open Sans" w:cs="Open Sans"/>
          <w:sz w:val="24"/>
          <w:szCs w:val="24"/>
          <w:lang w:eastAsia="en-AU"/>
        </w:rPr>
        <w:t>those employed as Farm and Livestock Hand</w:t>
      </w:r>
      <w:r w:rsidR="00681B3F" w:rsidRPr="001B4CF2">
        <w:rPr>
          <w:rFonts w:ascii="Open Sans" w:eastAsia="Times New Roman" w:hAnsi="Open Sans" w:cs="Open Sans"/>
          <w:sz w:val="24"/>
          <w:szCs w:val="24"/>
          <w:lang w:eastAsia="en-AU"/>
        </w:rPr>
        <w:t>s</w:t>
      </w:r>
      <w:r w:rsidRPr="001B4CF2">
        <w:rPr>
          <w:rFonts w:ascii="Open Sans" w:eastAsia="Times New Roman" w:hAnsi="Open Sans" w:cs="Open Sans"/>
          <w:sz w:val="24"/>
          <w:szCs w:val="24"/>
          <w:lang w:eastAsia="en-AU"/>
        </w:rPr>
        <w:t xml:space="preserve"> (FLH L1- FLHL8) under the </w:t>
      </w:r>
      <w:hyperlink r:id="rId10" w:anchor="TopOfPage" w:history="1">
        <w:r w:rsidRPr="001B4CF2">
          <w:rPr>
            <w:rStyle w:val="Hyperlink"/>
            <w:rFonts w:ascii="Open Sans" w:eastAsia="Times New Roman" w:hAnsi="Open Sans" w:cs="Open Sans"/>
            <w:sz w:val="24"/>
            <w:szCs w:val="24"/>
            <w:lang w:eastAsia="en-AU"/>
          </w:rPr>
          <w:t>Pastoral Award 2010</w:t>
        </w:r>
      </w:hyperlink>
      <w:r w:rsidRPr="001B4CF2">
        <w:rPr>
          <w:rFonts w:ascii="Open Sans" w:eastAsia="Times New Roman" w:hAnsi="Open Sans" w:cs="Open Sans"/>
          <w:sz w:val="24"/>
          <w:szCs w:val="24"/>
          <w:lang w:eastAsia="en-AU"/>
        </w:rPr>
        <w:t>.</w:t>
      </w:r>
    </w:p>
    <w:p w14:paraId="6E047A79" w14:textId="77777777" w:rsidR="007F6303" w:rsidRPr="007F6303" w:rsidRDefault="007F6303" w:rsidP="007F6303">
      <w:pPr>
        <w:spacing w:after="120" w:line="240" w:lineRule="auto"/>
        <w:rPr>
          <w:rFonts w:ascii="Open Sans" w:eastAsia="Times New Roman" w:hAnsi="Open Sans" w:cs="Open Sans"/>
          <w:b/>
          <w:color w:val="2E74B5" w:themeColor="accent1" w:themeShade="BF"/>
          <w:sz w:val="28"/>
          <w:szCs w:val="28"/>
          <w:lang w:eastAsia="en-AU"/>
        </w:rPr>
      </w:pPr>
      <w:r w:rsidRPr="007F6303">
        <w:rPr>
          <w:rFonts w:ascii="Open Sans" w:eastAsia="Times New Roman" w:hAnsi="Open Sans" w:cs="Open Sans"/>
          <w:b/>
          <w:color w:val="2E74B5" w:themeColor="accent1" w:themeShade="BF"/>
          <w:sz w:val="28"/>
          <w:szCs w:val="28"/>
          <w:lang w:eastAsia="en-AU"/>
        </w:rPr>
        <w:t xml:space="preserve">How to use the flat pay rate calculator </w:t>
      </w:r>
    </w:p>
    <w:p w14:paraId="3CDB6E04" w14:textId="77777777" w:rsidR="00A35025" w:rsidRDefault="007F6303" w:rsidP="004C252B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Enter the minimum hourly rate for the position, based on the classification.</w:t>
      </w:r>
    </w:p>
    <w:p w14:paraId="4918653F" w14:textId="77777777" w:rsidR="005E4EAE" w:rsidRPr="004C252B" w:rsidRDefault="005E4EAE" w:rsidP="005E4EAE">
      <w:pPr>
        <w:spacing w:before="75" w:after="75" w:line="240" w:lineRule="auto"/>
        <w:ind w:left="720"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47F0FAE7" w14:textId="77777777" w:rsidR="003A122F" w:rsidRDefault="007F6303" w:rsidP="003A122F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9F24B9">
        <w:rPr>
          <w:rFonts w:ascii="Open Sans" w:eastAsia="Times New Roman" w:hAnsi="Open Sans" w:cs="Open Sans"/>
          <w:sz w:val="24"/>
          <w:szCs w:val="24"/>
          <w:lang w:eastAsia="en-AU"/>
        </w:rPr>
        <w:t>The number of ordinary hours is already entered. It is assumed to be 38 hours as specified in the Pastoral</w:t>
      </w:r>
      <w:r w:rsidR="009F24B9">
        <w:rPr>
          <w:rFonts w:ascii="Open Sans" w:eastAsia="Times New Roman" w:hAnsi="Open Sans" w:cs="Open Sans"/>
          <w:sz w:val="24"/>
          <w:szCs w:val="24"/>
          <w:lang w:eastAsia="en-AU"/>
        </w:rPr>
        <w:t xml:space="preserve"> Award 2010 for Farm and Livestock Hand </w:t>
      </w:r>
      <w:r w:rsidR="003A122F">
        <w:rPr>
          <w:rFonts w:ascii="Open Sans" w:eastAsia="Times New Roman" w:hAnsi="Open Sans" w:cs="Open Sans"/>
          <w:sz w:val="24"/>
          <w:szCs w:val="24"/>
          <w:lang w:eastAsia="en-AU"/>
        </w:rPr>
        <w:t xml:space="preserve">(FLH) </w:t>
      </w:r>
      <w:r w:rsidR="009F24B9">
        <w:rPr>
          <w:rFonts w:ascii="Open Sans" w:eastAsia="Times New Roman" w:hAnsi="Open Sans" w:cs="Open Sans"/>
          <w:sz w:val="24"/>
          <w:szCs w:val="24"/>
          <w:lang w:eastAsia="en-AU"/>
        </w:rPr>
        <w:t xml:space="preserve">workers. </w:t>
      </w:r>
    </w:p>
    <w:p w14:paraId="02D641AB" w14:textId="77777777" w:rsidR="005E4EAE" w:rsidRPr="004C252B" w:rsidRDefault="005E4EAE" w:rsidP="005E4EAE">
      <w:p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70A1F71D" w14:textId="77777777" w:rsidR="007F6303" w:rsidRDefault="007F6303" w:rsidP="007F6303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Enter the overtime hours.</w:t>
      </w:r>
    </w:p>
    <w:p w14:paraId="10920402" w14:textId="77777777" w:rsidR="005E4EAE" w:rsidRPr="007F6303" w:rsidRDefault="005E4EAE" w:rsidP="005E4EAE">
      <w:p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4CB07D7E" w14:textId="77777777" w:rsidR="007F6303" w:rsidRDefault="007F6303" w:rsidP="007F6303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Enter any hours worked on Sundays that were after the employee had exceeded 152 hours within a 4-week period.</w:t>
      </w:r>
    </w:p>
    <w:p w14:paraId="29CB3087" w14:textId="77777777" w:rsidR="005E4EAE" w:rsidRPr="007F6303" w:rsidRDefault="005E4EAE" w:rsidP="005E4EAE">
      <w:p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73117824" w14:textId="77777777" w:rsidR="007F6303" w:rsidRDefault="007F6303" w:rsidP="007F6303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Enter number of hours and days rostered to work on public holidays over 12 months.</w:t>
      </w:r>
    </w:p>
    <w:p w14:paraId="003AF9C3" w14:textId="77777777" w:rsidR="005E4EAE" w:rsidRPr="007F6303" w:rsidRDefault="005E4EAE" w:rsidP="005E4EAE">
      <w:p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718C6AE7" w14:textId="77777777" w:rsidR="005E4EAE" w:rsidRDefault="007F6303" w:rsidP="005E4EAE">
      <w:pPr>
        <w:numPr>
          <w:ilvl w:val="0"/>
          <w:numId w:val="1"/>
        </w:num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7F6303">
        <w:rPr>
          <w:rFonts w:ascii="Open Sans" w:eastAsia="Times New Roman" w:hAnsi="Open Sans" w:cs="Open Sans"/>
          <w:sz w:val="24"/>
          <w:szCs w:val="24"/>
          <w:lang w:eastAsia="en-AU"/>
        </w:rPr>
        <w:t>The average hourly rate will be calculated. This rate is the minimum that needs to be paid to pass the BOOT test.</w:t>
      </w:r>
    </w:p>
    <w:p w14:paraId="7489C2DC" w14:textId="77777777" w:rsidR="005E4EAE" w:rsidRPr="005E4EAE" w:rsidRDefault="005E4EAE" w:rsidP="00FB13ED">
      <w:pPr>
        <w:spacing w:before="75" w:after="75" w:line="240" w:lineRule="auto"/>
        <w:ind w:right="300"/>
        <w:contextualSpacing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3EF27311" w14:textId="20E540A3" w:rsidR="005E4EAE" w:rsidRDefault="005E4EAE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sz w:val="24"/>
          <w:szCs w:val="24"/>
          <w:lang w:eastAsia="en-AU"/>
        </w:rPr>
        <w:t xml:space="preserve">On the following page you find </w:t>
      </w:r>
      <w:r w:rsidR="007F6303" w:rsidRPr="004C252B">
        <w:rPr>
          <w:rFonts w:ascii="Open Sans" w:eastAsia="Times New Roman" w:hAnsi="Open Sans" w:cs="Open Sans"/>
          <w:sz w:val="24"/>
          <w:szCs w:val="24"/>
          <w:lang w:eastAsia="en-AU"/>
        </w:rPr>
        <w:t>an example of a flat rate of pay ($</w:t>
      </w:r>
      <w:r w:rsidR="004C252B" w:rsidRPr="004C252B">
        <w:rPr>
          <w:rFonts w:ascii="Open Sans" w:eastAsia="Times New Roman" w:hAnsi="Open Sans" w:cs="Open Sans"/>
          <w:sz w:val="24"/>
          <w:szCs w:val="24"/>
          <w:lang w:eastAsia="en-AU"/>
        </w:rPr>
        <w:t>2</w:t>
      </w:r>
      <w:r w:rsidR="0010703D">
        <w:rPr>
          <w:rFonts w:ascii="Open Sans" w:eastAsia="Times New Roman" w:hAnsi="Open Sans" w:cs="Open Sans"/>
          <w:sz w:val="24"/>
          <w:szCs w:val="24"/>
          <w:lang w:eastAsia="en-AU"/>
        </w:rPr>
        <w:t>1.20</w:t>
      </w:r>
      <w:r w:rsidR="007F6303" w:rsidRPr="004C252B">
        <w:rPr>
          <w:rFonts w:ascii="Open Sans" w:eastAsia="Times New Roman" w:hAnsi="Open Sans" w:cs="Open Sans"/>
          <w:sz w:val="24"/>
          <w:szCs w:val="24"/>
          <w:lang w:eastAsia="en-AU"/>
        </w:rPr>
        <w:t>), calculated using the calculator, for an employee classified as an FLH5 (senior farm hand) at a minimum hourly rate of $</w:t>
      </w:r>
      <w:r w:rsidR="0010703D">
        <w:rPr>
          <w:rFonts w:ascii="Open Sans" w:eastAsia="Times New Roman" w:hAnsi="Open Sans" w:cs="Open Sans"/>
          <w:sz w:val="24"/>
          <w:szCs w:val="24"/>
          <w:lang w:eastAsia="en-AU"/>
        </w:rPr>
        <w:t>24.73</w:t>
      </w:r>
      <w:r w:rsidR="007F6303" w:rsidRPr="004C252B">
        <w:rPr>
          <w:rFonts w:ascii="Open Sans" w:eastAsia="Times New Roman" w:hAnsi="Open Sans" w:cs="Open Sans"/>
          <w:sz w:val="24"/>
          <w:szCs w:val="24"/>
          <w:lang w:eastAsia="en-AU"/>
        </w:rPr>
        <w:t xml:space="preserve"> (as of July </w:t>
      </w:r>
      <w:proofErr w:type="gramStart"/>
      <w:r w:rsidR="007F6303" w:rsidRPr="004C252B">
        <w:rPr>
          <w:rFonts w:ascii="Open Sans" w:eastAsia="Times New Roman" w:hAnsi="Open Sans" w:cs="Open Sans"/>
          <w:sz w:val="24"/>
          <w:szCs w:val="24"/>
          <w:lang w:eastAsia="en-AU"/>
        </w:rPr>
        <w:t>1</w:t>
      </w:r>
      <w:proofErr w:type="gramEnd"/>
      <w:r w:rsidR="007F6303" w:rsidRPr="004C252B">
        <w:rPr>
          <w:rFonts w:ascii="Open Sans" w:eastAsia="Times New Roman" w:hAnsi="Open Sans" w:cs="Open Sans"/>
          <w:sz w:val="24"/>
          <w:szCs w:val="24"/>
          <w:lang w:eastAsia="en-AU"/>
        </w:rPr>
        <w:t xml:space="preserve"> 201</w:t>
      </w:r>
      <w:r w:rsidR="0010703D">
        <w:rPr>
          <w:rFonts w:ascii="Open Sans" w:eastAsia="Times New Roman" w:hAnsi="Open Sans" w:cs="Open Sans"/>
          <w:sz w:val="24"/>
          <w:szCs w:val="24"/>
          <w:lang w:eastAsia="en-AU"/>
        </w:rPr>
        <w:t>9</w:t>
      </w:r>
      <w:r w:rsidR="007F6303" w:rsidRPr="004C252B">
        <w:rPr>
          <w:rFonts w:ascii="Open Sans" w:eastAsia="Times New Roman" w:hAnsi="Open Sans" w:cs="Open Sans"/>
          <w:sz w:val="24"/>
          <w:szCs w:val="24"/>
          <w:lang w:eastAsia="en-AU"/>
        </w:rPr>
        <w:t>)</w:t>
      </w:r>
    </w:p>
    <w:p w14:paraId="763523F2" w14:textId="77777777" w:rsidR="005E4EAE" w:rsidRDefault="005E4EAE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6FB0F3C5" w14:textId="77777777" w:rsidR="005E4EAE" w:rsidRDefault="005E4EAE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7284CC51" w14:textId="77777777" w:rsidR="005E4EAE" w:rsidRPr="004C252B" w:rsidRDefault="005E4EAE" w:rsidP="007F6303">
      <w:pPr>
        <w:spacing w:after="120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</w:p>
    <w:p w14:paraId="6B9F3416" w14:textId="77777777" w:rsidR="00A35025" w:rsidRPr="005E4EAE" w:rsidRDefault="00A35025" w:rsidP="005E4EAE">
      <w:pPr>
        <w:spacing w:after="12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en-AU"/>
        </w:rPr>
        <w:sectPr w:rsidR="00A35025" w:rsidRPr="005E4EAE" w:rsidSect="001B4CF2">
          <w:headerReference w:type="default" r:id="rId11"/>
          <w:footerReference w:type="defaul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3" w:name="market-rate"/>
      <w:bookmarkEnd w:id="3"/>
    </w:p>
    <w:tbl>
      <w:tblPr>
        <w:tblW w:w="7552" w:type="dxa"/>
        <w:tblLook w:val="04A0" w:firstRow="1" w:lastRow="0" w:firstColumn="1" w:lastColumn="0" w:noHBand="0" w:noVBand="1"/>
      </w:tblPr>
      <w:tblGrid>
        <w:gridCol w:w="108"/>
        <w:gridCol w:w="4128"/>
        <w:gridCol w:w="108"/>
        <w:gridCol w:w="868"/>
        <w:gridCol w:w="108"/>
        <w:gridCol w:w="868"/>
        <w:gridCol w:w="108"/>
        <w:gridCol w:w="1148"/>
        <w:gridCol w:w="108"/>
      </w:tblGrid>
      <w:tr w:rsidR="00A83831" w:rsidRPr="004C252B" w14:paraId="0F5B010A" w14:textId="77777777" w:rsidTr="001B4CF2">
        <w:trPr>
          <w:gridBefore w:val="1"/>
          <w:wBefore w:w="108" w:type="dxa"/>
          <w:trHeight w:val="465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926" w14:textId="40332E5D" w:rsidR="00A83831" w:rsidRPr="004C252B" w:rsidRDefault="001B4CF2" w:rsidP="00424ADE">
            <w:pPr>
              <w:spacing w:after="0" w:line="240" w:lineRule="auto"/>
              <w:rPr>
                <w:rFonts w:ascii="Calibri Light" w:eastAsia="Times New Roman" w:hAnsi="Calibri Light" w:cs="Times New Roman"/>
                <w:color w:val="00B0F0"/>
                <w:sz w:val="32"/>
                <w:szCs w:val="32"/>
                <w:lang w:eastAsia="en-AU"/>
              </w:rPr>
            </w:pPr>
            <w:r>
              <w:rPr>
                <w:rFonts w:ascii="Calibri Light" w:eastAsia="Times New Roman" w:hAnsi="Calibri Light" w:cs="Times New Roman"/>
                <w:color w:val="00B0F0"/>
                <w:sz w:val="32"/>
                <w:szCs w:val="32"/>
                <w:lang w:eastAsia="en-AU"/>
              </w:rPr>
              <w:lastRenderedPageBreak/>
              <w:t xml:space="preserve">FLAT PAY RATE </w:t>
            </w:r>
            <w:r w:rsidR="00A83831" w:rsidRPr="004C252B">
              <w:rPr>
                <w:rFonts w:ascii="Calibri Light" w:eastAsia="Times New Roman" w:hAnsi="Calibri Light" w:cs="Times New Roman"/>
                <w:color w:val="00B0F0"/>
                <w:sz w:val="32"/>
                <w:szCs w:val="32"/>
                <w:lang w:eastAsia="en-AU"/>
              </w:rPr>
              <w:t>CALCULATOR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8C12" w14:textId="77777777" w:rsidR="00A83831" w:rsidRPr="004C252B" w:rsidRDefault="00A83831" w:rsidP="00424ADE">
            <w:pPr>
              <w:spacing w:after="0" w:line="240" w:lineRule="auto"/>
              <w:rPr>
                <w:rFonts w:ascii="Calibri Light" w:eastAsia="Times New Roman" w:hAnsi="Calibri Light" w:cs="Times New Roman"/>
                <w:color w:val="00B0F0"/>
                <w:sz w:val="32"/>
                <w:szCs w:val="32"/>
                <w:lang w:eastAsia="en-A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4C48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368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83831" w:rsidRPr="004C252B" w14:paraId="30475E33" w14:textId="77777777" w:rsidTr="001B4CF2">
        <w:trPr>
          <w:gridAfter w:val="1"/>
          <w:wAfter w:w="108" w:type="dxa"/>
          <w:trHeight w:val="360"/>
        </w:trPr>
        <w:tc>
          <w:tcPr>
            <w:tcW w:w="42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1439175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Minimum hourly rate for the classification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8301185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71CD0E4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868FCB" w14:textId="682D3FB1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10703D">
              <w:rPr>
                <w:rFonts w:ascii="Calibri" w:eastAsia="Times New Roman" w:hAnsi="Calibri" w:cs="Times New Roman"/>
                <w:color w:val="000000"/>
                <w:lang w:eastAsia="en-AU"/>
              </w:rPr>
              <w:t>21.20</w:t>
            </w:r>
          </w:p>
        </w:tc>
      </w:tr>
      <w:tr w:rsidR="00A83831" w:rsidRPr="004C252B" w14:paraId="6154B2E7" w14:textId="77777777" w:rsidTr="001B4CF2">
        <w:trPr>
          <w:gridAfter w:val="1"/>
          <w:wAfter w:w="108" w:type="dxa"/>
          <w:trHeight w:val="315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CF5A33E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6845DC3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No. hours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F0DCC52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Rate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F642E66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A83831" w:rsidRPr="004C252B" w14:paraId="76506B71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9603C6F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Ordinary hours per week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331C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EE48944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072FC94" w14:textId="6249636D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10703D">
              <w:rPr>
                <w:rFonts w:ascii="Calibri" w:eastAsia="Times New Roman" w:hAnsi="Calibri" w:cs="Times New Roman"/>
                <w:color w:val="000000"/>
                <w:lang w:eastAsia="en-AU"/>
              </w:rPr>
              <w:t>805.60</w:t>
            </w:r>
          </w:p>
        </w:tc>
      </w:tr>
      <w:tr w:rsidR="00A83831" w:rsidRPr="004C252B" w14:paraId="3136B9CC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636B84E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Sunday &gt; 152 hrs/4 </w:t>
            </w:r>
            <w:proofErr w:type="spellStart"/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wks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B53" w14:textId="06DAC9E7" w:rsidR="00A83831" w:rsidRPr="004C252B" w:rsidRDefault="0010703D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2.5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E1008B0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82A1363" w14:textId="2BBD1761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10703D">
              <w:rPr>
                <w:rFonts w:ascii="Calibri" w:eastAsia="Times New Roman" w:hAnsi="Calibri" w:cs="Times New Roman"/>
                <w:color w:val="000000"/>
                <w:lang w:eastAsia="en-AU"/>
              </w:rPr>
              <w:t>106.00</w:t>
            </w:r>
          </w:p>
        </w:tc>
      </w:tr>
      <w:tr w:rsidR="00A83831" w:rsidRPr="004C252B" w14:paraId="6437C6E4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B82921D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Overtime hours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58D" w14:textId="43C59940" w:rsidR="00A83831" w:rsidRPr="004C252B" w:rsidRDefault="0010703D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9.5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A0F6C50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1.5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CBB3045" w14:textId="0DDE5570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10703D">
              <w:rPr>
                <w:rFonts w:ascii="Calibri" w:eastAsia="Times New Roman" w:hAnsi="Calibri" w:cs="Times New Roman"/>
                <w:color w:val="000000"/>
                <w:lang w:eastAsia="en-AU"/>
              </w:rPr>
              <w:t>302.10</w:t>
            </w:r>
          </w:p>
        </w:tc>
      </w:tr>
      <w:tr w:rsidR="00A83831" w:rsidRPr="004C252B" w14:paraId="347E7C17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AD61489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Total hours per week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1DEA157" w14:textId="4982BA6B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="0010703D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E04AB8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B9F2C97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83831" w:rsidRPr="004C252B" w14:paraId="7FA2AAD1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36B5306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Average hourly rate with overtime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75CF0C2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38D2BC0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9D44689" w14:textId="4A170F18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$2</w:t>
            </w:r>
            <w:r w:rsidR="0010703D">
              <w:rPr>
                <w:rFonts w:ascii="Calibri" w:eastAsia="Times New Roman" w:hAnsi="Calibri" w:cs="Times New Roman"/>
                <w:color w:val="000000"/>
                <w:lang w:eastAsia="en-AU"/>
              </w:rPr>
              <w:t>4.27</w:t>
            </w:r>
          </w:p>
        </w:tc>
      </w:tr>
      <w:tr w:rsidR="00A83831" w:rsidRPr="004C252B" w14:paraId="76BEB590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E8004D8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No. public holidays worked and hours/day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21E" w14:textId="6A4750DD" w:rsidR="00A83831" w:rsidRPr="004C252B" w:rsidRDefault="0010703D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35F6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F10E8C5" w14:textId="3DB16146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10703D">
              <w:rPr>
                <w:rFonts w:ascii="Calibri" w:eastAsia="Times New Roman" w:hAnsi="Calibri" w:cs="Times New Roman"/>
                <w:color w:val="000000"/>
                <w:lang w:eastAsia="en-AU"/>
              </w:rPr>
              <w:t>1060.00</w:t>
            </w:r>
          </w:p>
        </w:tc>
      </w:tr>
      <w:tr w:rsidR="00A83831" w:rsidRPr="004C252B" w14:paraId="764905CE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D485A04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Total annual salary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2BB1F2F1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4C1D6D3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B5B3D3B" w14:textId="34E4301A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10703D">
              <w:rPr>
                <w:rFonts w:ascii="Calibri" w:eastAsia="Times New Roman" w:hAnsi="Calibri" w:cs="Times New Roman"/>
                <w:color w:val="000000"/>
                <w:lang w:eastAsia="en-AU"/>
              </w:rPr>
              <w:t>63104.00</w:t>
            </w:r>
          </w:p>
        </w:tc>
      </w:tr>
      <w:tr w:rsidR="00A83831" w:rsidRPr="004C252B" w14:paraId="54155865" w14:textId="77777777" w:rsidTr="001B4CF2">
        <w:trPr>
          <w:gridAfter w:val="1"/>
          <w:wAfter w:w="108" w:type="dxa"/>
          <w:trHeight w:val="300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6A7095F6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hours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C35EE62" w14:textId="72819891" w:rsidR="00A83831" w:rsidRPr="004C252B" w:rsidRDefault="0010703D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2552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C0714A5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6AFDF45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bookmarkStart w:id="4" w:name="_GoBack"/>
        <w:bookmarkEnd w:id="4"/>
      </w:tr>
      <w:tr w:rsidR="00A83831" w:rsidRPr="004C252B" w14:paraId="3E9658F6" w14:textId="77777777" w:rsidTr="001B4CF2">
        <w:trPr>
          <w:gridAfter w:val="1"/>
          <w:wAfter w:w="108" w:type="dxa"/>
          <w:trHeight w:val="315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1ECFE1F" w14:textId="77777777" w:rsidR="00A83831" w:rsidRPr="004C252B" w:rsidRDefault="00A83831" w:rsidP="00424A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Average hourly rate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BDDC687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615E5A9" w14:textId="77777777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1185C36" w14:textId="6E50FB6B" w:rsidR="00A83831" w:rsidRPr="004C252B" w:rsidRDefault="00A83831" w:rsidP="00424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C252B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10703D">
              <w:rPr>
                <w:rFonts w:ascii="Calibri" w:eastAsia="Times New Roman" w:hAnsi="Calibri" w:cs="Times New Roman"/>
                <w:color w:val="000000"/>
                <w:lang w:eastAsia="en-AU"/>
              </w:rPr>
              <w:t>24.73</w:t>
            </w:r>
          </w:p>
        </w:tc>
      </w:tr>
    </w:tbl>
    <w:p w14:paraId="28DFAAF0" w14:textId="77777777" w:rsidR="00A83831" w:rsidRDefault="00A83831" w:rsidP="001125FD">
      <w:pPr>
        <w:spacing w:after="120" w:line="240" w:lineRule="auto"/>
        <w:contextualSpacing/>
        <w:outlineLvl w:val="1"/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</w:pPr>
    </w:p>
    <w:p w14:paraId="27AD7D4D" w14:textId="77777777" w:rsidR="001125FD" w:rsidRPr="001125FD" w:rsidRDefault="001125FD" w:rsidP="001125FD">
      <w:pPr>
        <w:spacing w:after="120" w:line="240" w:lineRule="auto"/>
        <w:contextualSpacing/>
        <w:outlineLvl w:val="1"/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</w:pPr>
      <w:r w:rsidRPr="00EB21E6"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  <w:t>CALCULATING A FLAT RATE OF PAY</w:t>
      </w:r>
      <w:r w:rsidRPr="00EB21E6">
        <w:rPr>
          <w:rFonts w:ascii="Open Sans" w:eastAsia="Times New Roman" w:hAnsi="Open Sans" w:cs="Open Sans"/>
          <w:b/>
          <w:bCs/>
          <w:color w:val="2E74B5" w:themeColor="accent1" w:themeShade="BF"/>
          <w:kern w:val="36"/>
          <w:sz w:val="28"/>
          <w:szCs w:val="28"/>
          <w:lang w:eastAsia="en-AU"/>
        </w:rPr>
        <w:tab/>
      </w:r>
      <w:r w:rsidRPr="00777FE9">
        <w:rPr>
          <w:rFonts w:ascii="Open Sans" w:eastAsia="Times New Roman" w:hAnsi="Open Sans" w:cs="Open Sans"/>
          <w:b/>
          <w:bCs/>
          <w:color w:val="4472C4" w:themeColor="accent5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</w:p>
    <w:p w14:paraId="45ACAAB8" w14:textId="77777777" w:rsidR="001125FD" w:rsidRPr="001125FD" w:rsidRDefault="001125FD" w:rsidP="001125FD">
      <w:pPr>
        <w:spacing w:after="120" w:line="240" w:lineRule="auto"/>
        <w:contextualSpacing/>
        <w:outlineLvl w:val="1"/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</w:pP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>How to use this calculator</w:t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  <w:r w:rsidRPr="001125FD">
        <w:rPr>
          <w:rFonts w:ascii="Open Sans" w:eastAsia="Times New Roman" w:hAnsi="Open Sans" w:cs="Open Sans"/>
          <w:b/>
          <w:bCs/>
          <w:color w:val="70AD47"/>
          <w:kern w:val="36"/>
          <w:sz w:val="28"/>
          <w:szCs w:val="28"/>
          <w:lang w:eastAsia="en-AU"/>
        </w:rPr>
        <w:tab/>
      </w:r>
    </w:p>
    <w:p w14:paraId="0C1E3415" w14:textId="77777777" w:rsidR="00777FE9" w:rsidRDefault="001125FD" w:rsidP="001125FD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Find the minimum hourly rate for the position on the </w:t>
      </w:r>
      <w:hyperlink r:id="rId13" w:history="1">
        <w:r w:rsidR="00777FE9" w:rsidRPr="00777FE9">
          <w:rPr>
            <w:rStyle w:val="Hyperlink"/>
            <w:rFonts w:ascii="Open Sans" w:eastAsia="Times New Roman" w:hAnsi="Open Sans" w:cs="Open Sans"/>
            <w:bCs/>
            <w:kern w:val="36"/>
            <w:sz w:val="24"/>
            <w:szCs w:val="24"/>
            <w:lang w:eastAsia="en-AU"/>
          </w:rPr>
          <w:t>https://calculate.fairwork.gov.au/FindYourAward</w:t>
        </w:r>
      </w:hyperlink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</w:t>
      </w: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website and enter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this amount in the YELLOW BOX.</w:t>
      </w:r>
    </w:p>
    <w:p w14:paraId="7DC0B7EE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655D2F67" w14:textId="77777777" w:rsidR="00777FE9" w:rsidRDefault="001125FD" w:rsidP="009478E5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The number of ordinary hours 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cannot</w:t>
      </w: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exceed 38 hours per week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averaged over a 4-week period</w:t>
      </w:r>
    </w:p>
    <w:p w14:paraId="42F06BB1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1C604703" w14:textId="77777777" w:rsidR="00777FE9" w:rsidRDefault="00777FE9" w:rsidP="007F6793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Enter the overtime hours.</w:t>
      </w:r>
    </w:p>
    <w:p w14:paraId="3490EC2C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36C122A9" w14:textId="77777777" w:rsidR="00777FE9" w:rsidRDefault="001125FD" w:rsidP="003E5068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Enter any hours worked on Sundays after exceeding 15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2 hours within a 4-week period.</w:t>
      </w:r>
    </w:p>
    <w:p w14:paraId="2A5B7C98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12C7ACD6" w14:textId="77777777" w:rsidR="00777FE9" w:rsidRDefault="001125FD" w:rsidP="00710104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Enter the number of hours and days rostered to work on 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public holidays over 12 months.</w:t>
      </w:r>
    </w:p>
    <w:p w14:paraId="113E4A83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1DBD42FB" w14:textId="77777777" w:rsidR="00777FE9" w:rsidRDefault="001125FD" w:rsidP="002F038E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The average hourly rate will be calculated. This is the minimum needed to </w:t>
      </w:r>
      <w:r w:rsidR="00777FE9"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be paid to pass the BOOT test</w:t>
      </w:r>
      <w:r w:rsidR="00A83831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.</w:t>
      </w:r>
    </w:p>
    <w:p w14:paraId="00BF644A" w14:textId="77777777" w:rsidR="00A83831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49771AD6" w14:textId="77777777" w:rsidR="001125FD" w:rsidRDefault="001125FD" w:rsidP="002F038E">
      <w:pPr>
        <w:pStyle w:val="ListParagraph"/>
        <w:numPr>
          <w:ilvl w:val="0"/>
          <w:numId w:val="4"/>
        </w:numPr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Copy and paste your calculations into the IFA, including the </w:t>
      </w:r>
      <w:proofErr w:type="gramStart"/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>signature  place</w:t>
      </w:r>
      <w:proofErr w:type="gramEnd"/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markers for the signature of</w:t>
      </w:r>
      <w:r w:rsid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 the employer and the employee </w:t>
      </w:r>
      <w:r w:rsidRPr="00777FE9"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ab/>
      </w:r>
    </w:p>
    <w:p w14:paraId="794D672C" w14:textId="77777777" w:rsidR="00A83831" w:rsidRPr="00A83831" w:rsidRDefault="00A83831" w:rsidP="00A83831">
      <w:pPr>
        <w:pStyle w:val="ListParagraph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297BE9B6" w14:textId="77777777" w:rsidR="00A83831" w:rsidRPr="00777FE9" w:rsidRDefault="00A83831" w:rsidP="00A83831">
      <w:pPr>
        <w:pStyle w:val="ListParagraph"/>
        <w:spacing w:after="120" w:line="240" w:lineRule="auto"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p w14:paraId="11C1C629" w14:textId="77777777" w:rsidR="00777FE9" w:rsidRDefault="00781B78" w:rsidP="001125FD">
      <w:pPr>
        <w:spacing w:after="120" w:line="240" w:lineRule="auto"/>
        <w:contextualSpacing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t xml:space="preserve">Double click the table below to edit it, or right click and select “Workshop Object &gt; Open” to open it in Microsoft Excel (recommended) </w:t>
      </w:r>
    </w:p>
    <w:p w14:paraId="51DBBA9B" w14:textId="77777777" w:rsidR="00777FE9" w:rsidRDefault="00777FE9" w:rsidP="001125FD">
      <w:pPr>
        <w:spacing w:after="120" w:line="240" w:lineRule="auto"/>
        <w:contextualSpacing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</w:p>
    <w:bookmarkStart w:id="5" w:name="_MON_1530016247"/>
    <w:bookmarkEnd w:id="5"/>
    <w:p w14:paraId="7592B07C" w14:textId="77777777" w:rsidR="00781B78" w:rsidRDefault="005E4EAE" w:rsidP="001B4CF2">
      <w:pPr>
        <w:spacing w:after="120" w:line="240" w:lineRule="auto"/>
        <w:ind w:left="-284"/>
        <w:contextualSpacing/>
        <w:outlineLvl w:val="1"/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</w:pPr>
      <w:r>
        <w:rPr>
          <w:rFonts w:ascii="Open Sans" w:eastAsia="Times New Roman" w:hAnsi="Open Sans" w:cs="Open Sans"/>
          <w:bCs/>
          <w:kern w:val="36"/>
          <w:sz w:val="24"/>
          <w:szCs w:val="24"/>
          <w:lang w:eastAsia="en-AU"/>
        </w:rPr>
        <w:object w:dxaOrig="7927" w:dyaOrig="4833" w14:anchorId="17897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94pt" o:ole="">
            <v:imagedata r:id="rId14" o:title=""/>
          </v:shape>
          <o:OLEObject Type="Embed" ProgID="Excel.Sheet.8" ShapeID="_x0000_i1025" DrawAspect="Content" ObjectID="_1624625051" r:id="rId15"/>
        </w:object>
      </w:r>
    </w:p>
    <w:sectPr w:rsidR="00781B78" w:rsidSect="00A3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A104" w14:textId="77777777" w:rsidR="00AD271F" w:rsidRDefault="00AD271F" w:rsidP="00A35025">
      <w:pPr>
        <w:spacing w:after="0" w:line="240" w:lineRule="auto"/>
      </w:pPr>
      <w:r>
        <w:separator/>
      </w:r>
    </w:p>
  </w:endnote>
  <w:endnote w:type="continuationSeparator" w:id="0">
    <w:p w14:paraId="687C1DCF" w14:textId="77777777" w:rsidR="00AD271F" w:rsidRDefault="00AD271F" w:rsidP="00A3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D74A" w14:textId="77777777" w:rsidR="009F24B9" w:rsidRDefault="009F24B9" w:rsidP="009F24B9">
    <w:pPr>
      <w:pStyle w:val="Footer"/>
      <w:rPr>
        <w:sz w:val="18"/>
        <w:szCs w:val="18"/>
        <w:lang w:val="en-GB"/>
      </w:rPr>
    </w:pPr>
  </w:p>
  <w:p w14:paraId="25FD1337" w14:textId="77777777" w:rsidR="00777FE9" w:rsidRPr="009F24B9" w:rsidRDefault="009F24B9" w:rsidP="001B4CF2">
    <w:pPr>
      <w:pStyle w:val="Footer"/>
      <w:ind w:left="-709"/>
      <w:rPr>
        <w:rFonts w:ascii="Open Sans" w:hAnsi="Open Sans" w:cs="Open Sans"/>
        <w:sz w:val="16"/>
        <w:szCs w:val="16"/>
        <w:lang w:val="en-GB"/>
      </w:rPr>
    </w:pPr>
    <w:r w:rsidRPr="009F24B9">
      <w:rPr>
        <w:rFonts w:ascii="Open Sans" w:hAnsi="Open Sans" w:cs="Open Sans"/>
        <w:noProof/>
        <w:sz w:val="16"/>
        <w:szCs w:val="16"/>
        <w:lang w:val="en-US"/>
      </w:rPr>
      <w:drawing>
        <wp:anchor distT="0" distB="0" distL="114300" distR="114300" simplePos="0" relativeHeight="251661312" behindDoc="1" locked="0" layoutInCell="1" allowOverlap="1" wp14:anchorId="61467011" wp14:editId="664635C8">
          <wp:simplePos x="0" y="0"/>
          <wp:positionH relativeFrom="column">
            <wp:posOffset>4066162</wp:posOffset>
          </wp:positionH>
          <wp:positionV relativeFrom="paragraph">
            <wp:posOffset>-67945</wp:posOffset>
          </wp:positionV>
          <wp:extent cx="2378301" cy="466954"/>
          <wp:effectExtent l="0" t="0" r="3175" b="9525"/>
          <wp:wrapTight wrapText="bothSides">
            <wp:wrapPolygon edited="0">
              <wp:start x="346" y="0"/>
              <wp:lineTo x="0" y="17633"/>
              <wp:lineTo x="0" y="19396"/>
              <wp:lineTo x="1038" y="21159"/>
              <wp:lineTo x="18860" y="21159"/>
              <wp:lineTo x="21456" y="20278"/>
              <wp:lineTo x="21456" y="882"/>
              <wp:lineTo x="5537" y="0"/>
              <wp:lineTo x="346" y="0"/>
            </wp:wrapPolygon>
          </wp:wrapTight>
          <wp:docPr id="20" name="Picture 20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E9" w:rsidRPr="009F24B9">
      <w:rPr>
        <w:rFonts w:ascii="Open Sans" w:hAnsi="Open Sans" w:cs="Open Sans"/>
        <w:sz w:val="16"/>
        <w:szCs w:val="16"/>
        <w:lang w:val="en-GB"/>
      </w:rPr>
      <w:t>This document is a guide only and professional advice should be sought about your specific circumstances</w:t>
    </w:r>
  </w:p>
  <w:p w14:paraId="78D6FD05" w14:textId="77777777" w:rsidR="00777FE9" w:rsidRPr="009F24B9" w:rsidRDefault="00777FE9" w:rsidP="001B4CF2">
    <w:pPr>
      <w:pStyle w:val="Footer"/>
      <w:ind w:left="-426"/>
      <w:jc w:val="center"/>
      <w:rPr>
        <w:rFonts w:ascii="Open Sans" w:hAnsi="Open Sans" w:cs="Open Sans"/>
        <w:sz w:val="16"/>
        <w:szCs w:val="16"/>
      </w:rPr>
    </w:pPr>
    <w:r w:rsidRPr="009F24B9">
      <w:rPr>
        <w:rFonts w:ascii="Open Sans" w:hAnsi="Open Sans" w:cs="Open Sans"/>
        <w:sz w:val="16"/>
        <w:szCs w:val="16"/>
      </w:rPr>
      <w:t xml:space="preserve">Page </w:t>
    </w:r>
    <w:r w:rsidRPr="009F24B9">
      <w:rPr>
        <w:rFonts w:ascii="Open Sans" w:hAnsi="Open Sans" w:cs="Open Sans"/>
        <w:bCs/>
        <w:sz w:val="16"/>
        <w:szCs w:val="16"/>
      </w:rPr>
      <w:fldChar w:fldCharType="begin"/>
    </w:r>
    <w:r w:rsidRPr="009F24B9">
      <w:rPr>
        <w:rFonts w:ascii="Open Sans" w:hAnsi="Open Sans" w:cs="Open Sans"/>
        <w:bCs/>
        <w:sz w:val="16"/>
        <w:szCs w:val="16"/>
      </w:rPr>
      <w:instrText xml:space="preserve"> PAGE  \* Arabic  \* MERGEFORMAT </w:instrText>
    </w:r>
    <w:r w:rsidRPr="009F24B9">
      <w:rPr>
        <w:rFonts w:ascii="Open Sans" w:hAnsi="Open Sans" w:cs="Open Sans"/>
        <w:bCs/>
        <w:sz w:val="16"/>
        <w:szCs w:val="16"/>
      </w:rPr>
      <w:fldChar w:fldCharType="separate"/>
    </w:r>
    <w:r w:rsidR="00FB13ED">
      <w:rPr>
        <w:rFonts w:ascii="Open Sans" w:hAnsi="Open Sans" w:cs="Open Sans"/>
        <w:bCs/>
        <w:noProof/>
        <w:sz w:val="16"/>
        <w:szCs w:val="16"/>
      </w:rPr>
      <w:t>1</w:t>
    </w:r>
    <w:r w:rsidRPr="009F24B9">
      <w:rPr>
        <w:rFonts w:ascii="Open Sans" w:hAnsi="Open Sans" w:cs="Open Sans"/>
        <w:bCs/>
        <w:sz w:val="16"/>
        <w:szCs w:val="16"/>
      </w:rPr>
      <w:fldChar w:fldCharType="end"/>
    </w:r>
    <w:r w:rsidRPr="009F24B9">
      <w:rPr>
        <w:rFonts w:ascii="Open Sans" w:hAnsi="Open Sans" w:cs="Open Sans"/>
        <w:sz w:val="16"/>
        <w:szCs w:val="16"/>
      </w:rPr>
      <w:t xml:space="preserve"> of </w:t>
    </w:r>
    <w:r w:rsidRPr="009F24B9">
      <w:rPr>
        <w:rFonts w:ascii="Open Sans" w:hAnsi="Open Sans" w:cs="Open Sans"/>
        <w:bCs/>
        <w:sz w:val="16"/>
        <w:szCs w:val="16"/>
      </w:rPr>
      <w:fldChar w:fldCharType="begin"/>
    </w:r>
    <w:r w:rsidRPr="009F24B9">
      <w:rPr>
        <w:rFonts w:ascii="Open Sans" w:hAnsi="Open Sans" w:cs="Open Sans"/>
        <w:bCs/>
        <w:sz w:val="16"/>
        <w:szCs w:val="16"/>
      </w:rPr>
      <w:instrText xml:space="preserve"> NUMPAGES  \* Arabic  \* MERGEFORMAT </w:instrText>
    </w:r>
    <w:r w:rsidRPr="009F24B9">
      <w:rPr>
        <w:rFonts w:ascii="Open Sans" w:hAnsi="Open Sans" w:cs="Open Sans"/>
        <w:bCs/>
        <w:sz w:val="16"/>
        <w:szCs w:val="16"/>
      </w:rPr>
      <w:fldChar w:fldCharType="separate"/>
    </w:r>
    <w:r w:rsidR="00FB13ED">
      <w:rPr>
        <w:rFonts w:ascii="Open Sans" w:hAnsi="Open Sans" w:cs="Open Sans"/>
        <w:bCs/>
        <w:noProof/>
        <w:sz w:val="16"/>
        <w:szCs w:val="16"/>
      </w:rPr>
      <w:t>4</w:t>
    </w:r>
    <w:r w:rsidRPr="009F24B9">
      <w:rPr>
        <w:rFonts w:ascii="Open Sans" w:hAnsi="Open Sans" w:cs="Open Sans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BDF0" w14:textId="77777777" w:rsidR="00AD271F" w:rsidRDefault="00AD271F" w:rsidP="00A35025">
      <w:pPr>
        <w:spacing w:after="0" w:line="240" w:lineRule="auto"/>
      </w:pPr>
      <w:r>
        <w:separator/>
      </w:r>
    </w:p>
  </w:footnote>
  <w:footnote w:type="continuationSeparator" w:id="0">
    <w:p w14:paraId="4FD6D1D7" w14:textId="77777777" w:rsidR="00AD271F" w:rsidRDefault="00AD271F" w:rsidP="00A3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CCE0" w14:textId="77777777" w:rsidR="00A35025" w:rsidRDefault="00A3502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688094" wp14:editId="79197911">
          <wp:simplePos x="0" y="0"/>
          <wp:positionH relativeFrom="rightMargin">
            <wp:posOffset>269240</wp:posOffset>
          </wp:positionH>
          <wp:positionV relativeFrom="paragraph">
            <wp:posOffset>-267335</wp:posOffset>
          </wp:positionV>
          <wp:extent cx="266700" cy="11906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CC7"/>
    <w:multiLevelType w:val="hybridMultilevel"/>
    <w:tmpl w:val="AF52820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A54040"/>
    <w:multiLevelType w:val="multilevel"/>
    <w:tmpl w:val="D8D2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42122"/>
    <w:multiLevelType w:val="hybridMultilevel"/>
    <w:tmpl w:val="FC0A97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B7953"/>
    <w:multiLevelType w:val="hybridMultilevel"/>
    <w:tmpl w:val="6054F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03"/>
    <w:rsid w:val="00037807"/>
    <w:rsid w:val="0005784A"/>
    <w:rsid w:val="00093D12"/>
    <w:rsid w:val="0010703D"/>
    <w:rsid w:val="001125FD"/>
    <w:rsid w:val="00134B9F"/>
    <w:rsid w:val="0016672E"/>
    <w:rsid w:val="00171D76"/>
    <w:rsid w:val="001B4CF2"/>
    <w:rsid w:val="001D3361"/>
    <w:rsid w:val="001F1583"/>
    <w:rsid w:val="00234C6A"/>
    <w:rsid w:val="002673CE"/>
    <w:rsid w:val="00364E69"/>
    <w:rsid w:val="003A122F"/>
    <w:rsid w:val="003E756B"/>
    <w:rsid w:val="00407AAF"/>
    <w:rsid w:val="004C252B"/>
    <w:rsid w:val="005A4CF4"/>
    <w:rsid w:val="005E4EAE"/>
    <w:rsid w:val="00613431"/>
    <w:rsid w:val="00681B3F"/>
    <w:rsid w:val="00700039"/>
    <w:rsid w:val="00777FE9"/>
    <w:rsid w:val="00781B78"/>
    <w:rsid w:val="007F6303"/>
    <w:rsid w:val="008746E4"/>
    <w:rsid w:val="008E3960"/>
    <w:rsid w:val="009F24B9"/>
    <w:rsid w:val="00A35025"/>
    <w:rsid w:val="00A83831"/>
    <w:rsid w:val="00AD271F"/>
    <w:rsid w:val="00E5212E"/>
    <w:rsid w:val="00EB21E6"/>
    <w:rsid w:val="00F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82BA9"/>
  <w15:docId w15:val="{496298F2-E878-431B-9D20-F871ADBA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F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303"/>
    <w:pPr>
      <w:spacing w:after="120" w:line="240" w:lineRule="auto"/>
    </w:pPr>
    <w:rPr>
      <w:rFonts w:ascii="Open Sans" w:eastAsia="Times New Roman" w:hAnsi="Open Sans" w:cs="Open Sans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303"/>
    <w:rPr>
      <w:rFonts w:ascii="Open Sans" w:eastAsia="Times New Roman" w:hAnsi="Open Sans" w:cs="Open Sans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0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6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1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5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25"/>
  </w:style>
  <w:style w:type="paragraph" w:styleId="Footer">
    <w:name w:val="footer"/>
    <w:basedOn w:val="Normal"/>
    <w:link w:val="FooterChar"/>
    <w:uiPriority w:val="99"/>
    <w:unhideWhenUsed/>
    <w:rsid w:val="00A3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25"/>
  </w:style>
  <w:style w:type="table" w:styleId="TableGrid">
    <w:name w:val="Table Grid"/>
    <w:basedOn w:val="TableNormal"/>
    <w:uiPriority w:val="3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C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3CE"/>
    <w:rPr>
      <w:rFonts w:ascii="Open Sans" w:eastAsia="Times New Roman" w:hAnsi="Open Sans" w:cs="Open Sans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c.gov.au/documents/documents/modern_awards/award/ma000035/ma000035-30.htm" TargetMode="External"/><Relationship Id="rId13" Type="http://schemas.openxmlformats.org/officeDocument/2006/relationships/hyperlink" Target="https://calculate.fairwork.gov.au/FindYourAw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.xls"/><Relationship Id="rId10" Type="http://schemas.openxmlformats.org/officeDocument/2006/relationships/hyperlink" Target="https://www.fwc.gov.au/documents/documents/modern_awards/award/ma000035/ma000035-3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opleinag.com.au/media/1091/ifa_letter_of_offer.docx" TargetMode="Externa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7972-DEB0-4926-B0C3-071F497A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Australia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Hoban</dc:creator>
  <cp:keywords/>
  <dc:description/>
  <cp:lastModifiedBy>Ben Hoban</cp:lastModifiedBy>
  <cp:revision>3</cp:revision>
  <dcterms:created xsi:type="dcterms:W3CDTF">2019-07-14T05:53:00Z</dcterms:created>
  <dcterms:modified xsi:type="dcterms:W3CDTF">2019-07-14T05:58:00Z</dcterms:modified>
</cp:coreProperties>
</file>